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884A2" w14:textId="68EAF8C8" w:rsidR="00700CEF" w:rsidRPr="00700CEF" w:rsidRDefault="00700CEF" w:rsidP="00700CEF">
      <w:pPr>
        <w:jc w:val="center"/>
        <w:rPr>
          <w:b/>
          <w:bCs/>
          <w:sz w:val="28"/>
          <w:szCs w:val="28"/>
        </w:rPr>
      </w:pPr>
      <w:r w:rsidRPr="00700CEF">
        <w:rPr>
          <w:b/>
          <w:bCs/>
          <w:sz w:val="28"/>
          <w:szCs w:val="28"/>
        </w:rPr>
        <w:t>ANAMT ALERTA TRABALHADORES BRASILEIROS SOBRE A IMPORTÂNCIA DA VACINAÇÃO CONTRA O SARAMPO</w:t>
      </w:r>
    </w:p>
    <w:p w14:paraId="38E20030" w14:textId="70E2AB50" w:rsidR="000503AC" w:rsidRDefault="00700CEF" w:rsidP="00700CEF">
      <w:pPr>
        <w:jc w:val="both"/>
        <w:rPr>
          <w:i/>
          <w:iCs/>
          <w:sz w:val="28"/>
          <w:szCs w:val="28"/>
        </w:rPr>
      </w:pPr>
      <w:r w:rsidRPr="000938D7">
        <w:rPr>
          <w:i/>
          <w:iCs/>
          <w:sz w:val="28"/>
          <w:szCs w:val="28"/>
        </w:rPr>
        <w:t>Vacinação contra o sarampo: proteção da saúde dos trabalhadores e fortalecimento da prevenção nos ambientes de trabalho</w:t>
      </w:r>
    </w:p>
    <w:p w14:paraId="3D424D18" w14:textId="77777777" w:rsidR="000938D7" w:rsidRPr="00700CEF" w:rsidRDefault="000938D7" w:rsidP="00700CEF">
      <w:pPr>
        <w:jc w:val="both"/>
        <w:rPr>
          <w:i/>
          <w:iCs/>
          <w:sz w:val="28"/>
          <w:szCs w:val="28"/>
        </w:rPr>
      </w:pPr>
    </w:p>
    <w:p w14:paraId="029F0B6A" w14:textId="56B09FCE" w:rsidR="00700CEF" w:rsidRDefault="00700CEF" w:rsidP="00700CEF">
      <w:pPr>
        <w:jc w:val="both"/>
      </w:pPr>
      <w:r>
        <w:t>(())</w:t>
      </w:r>
    </w:p>
    <w:p w14:paraId="4845C178" w14:textId="6FAC1D03" w:rsidR="001603E2" w:rsidRPr="001603E2" w:rsidRDefault="001603E2" w:rsidP="001603E2">
      <w:pPr>
        <w:jc w:val="both"/>
      </w:pPr>
      <w:r w:rsidRPr="001603E2">
        <w:t>A Associação Nacional de Medicina do Trabalho (ANAMT) manifesta apoio à mobilização conduzida pelo Ministério da Saúde para ampliar a cobertura vacinal contra o sarampo e reforçar a importância da atualização da caderneta de vacinação da população brasileira. Como entidade científica comprometida com a promoção da saúde dos trabalhadores e com a prevenção de doenças evitáveis, a ANAMT considera essa iniciativa estratégica para reduzir riscos individuais, preservar ambientes laborais seguros e fortalecer a proteção coletiva.</w:t>
      </w:r>
    </w:p>
    <w:p w14:paraId="371BF7D4" w14:textId="77777777" w:rsidR="001603E2" w:rsidRPr="001603E2" w:rsidRDefault="001603E2" w:rsidP="001603E2">
      <w:pPr>
        <w:jc w:val="both"/>
      </w:pPr>
      <w:r w:rsidRPr="001603E2">
        <w:t xml:space="preserve">O sarampo é uma doença infecciosa altamente transmissível, cuja prevenção depende, fundamentalmente, da vacinação. Embora o Brasil tenha recuperado, em 2024, a certificação de eliminação da circulação endêmica do vírus, a ocorrência de casos importados e de surtos localizados demonstra que o país permanece vulnerável sempre que há redução das coberturas vacinais. </w:t>
      </w:r>
    </w:p>
    <w:p w14:paraId="46FF54AF" w14:textId="77777777" w:rsidR="001603E2" w:rsidRPr="001603E2" w:rsidRDefault="001603E2" w:rsidP="00C340C1">
      <w:pPr>
        <w:shd w:val="clear" w:color="auto" w:fill="D9D9D9" w:themeFill="background1" w:themeFillShade="D9"/>
        <w:jc w:val="both"/>
        <w:rPr>
          <w:b/>
          <w:bCs/>
        </w:rPr>
      </w:pPr>
      <w:r w:rsidRPr="001603E2">
        <w:rPr>
          <w:b/>
          <w:bCs/>
        </w:rPr>
        <w:t>Como aderir ao esforço nacional de vacinação</w:t>
      </w:r>
    </w:p>
    <w:p w14:paraId="4C60A127" w14:textId="77777777" w:rsidR="001603E2" w:rsidRPr="001603E2" w:rsidRDefault="001603E2" w:rsidP="001603E2">
      <w:pPr>
        <w:jc w:val="both"/>
      </w:pPr>
      <w:r w:rsidRPr="001603E2">
        <w:t>A vacina tríplice viral, que protege contra sarampo, caxumba e rubéola, integra o Programa Nacional de Imunizações (PNI) e está disponível gratuitamente nas Unidades Básicas de Saúde.</w:t>
      </w:r>
    </w:p>
    <w:p w14:paraId="32133E5E" w14:textId="77777777" w:rsidR="001603E2" w:rsidRPr="001603E2" w:rsidRDefault="001603E2" w:rsidP="001603E2">
      <w:pPr>
        <w:jc w:val="both"/>
      </w:pPr>
      <w:r w:rsidRPr="001603E2">
        <w:t>O Ministério da Saúde recomenda:</w:t>
      </w:r>
    </w:p>
    <w:p w14:paraId="7FA32156" w14:textId="7459DA00" w:rsidR="002F43B8" w:rsidRDefault="00C15991" w:rsidP="002F43B8">
      <w:pPr>
        <w:jc w:val="both"/>
      </w:pPr>
      <w:r>
        <w:t>C</w:t>
      </w:r>
      <w:r w:rsidR="002F43B8">
        <w:t>rianças: primeira dose aos 12 meses, com a vacina tríplice viral; segunda dose aos 15 meses, conforme calendário vacinal vigente;</w:t>
      </w:r>
    </w:p>
    <w:p w14:paraId="3042E3E4" w14:textId="32DBAB9B" w:rsidR="002F43B8" w:rsidRDefault="00C15991" w:rsidP="002F43B8">
      <w:pPr>
        <w:jc w:val="both"/>
      </w:pPr>
      <w:r>
        <w:t>P</w:t>
      </w:r>
      <w:r w:rsidR="002F43B8">
        <w:t>essoas de 1 a 29 anos: devem possuir comprovação de duas doses;</w:t>
      </w:r>
    </w:p>
    <w:p w14:paraId="112D8137" w14:textId="03E39EB6" w:rsidR="002F43B8" w:rsidRDefault="00C15991" w:rsidP="002F43B8">
      <w:pPr>
        <w:jc w:val="both"/>
      </w:pPr>
      <w:r>
        <w:t>P</w:t>
      </w:r>
      <w:r w:rsidR="002F43B8">
        <w:t>essoas de 30 a 59 anos: devem possuir pelo menos uma dose registrada, caso não tenham comprovação vacinal anterior;</w:t>
      </w:r>
    </w:p>
    <w:p w14:paraId="03596847" w14:textId="5922F2C6" w:rsidR="002F43B8" w:rsidRDefault="001E253D" w:rsidP="002F43B8">
      <w:pPr>
        <w:jc w:val="both"/>
      </w:pPr>
      <w:r>
        <w:t>T</w:t>
      </w:r>
      <w:r w:rsidR="002F43B8">
        <w:t>rabalhadores da saúde: devem comprovar duas doses da vacina, independentemente da idade, em razão do maior risco de exposição ocupacional.</w:t>
      </w:r>
    </w:p>
    <w:p w14:paraId="6F218CA6" w14:textId="36F2A5F0" w:rsidR="000F2957" w:rsidRDefault="009E3B36" w:rsidP="002F43B8">
      <w:pPr>
        <w:jc w:val="both"/>
      </w:pPr>
      <w:r>
        <w:br/>
      </w:r>
      <w:r w:rsidR="000F2957" w:rsidRPr="000F2957">
        <w:t xml:space="preserve">Em situações específicas definidas pelas autoridades sanitárias, como ações de bloqueio vacinal, varredura em áreas delimitadas ou viagens para locais com surto </w:t>
      </w:r>
      <w:r w:rsidR="000F2957" w:rsidRPr="000F2957">
        <w:lastRenderedPageBreak/>
        <w:t>ativo, crianças de 6 a 11 meses e 29 dias podem receber a chamada “dose zero”, que não substitui as doses previstas no calendário regular.</w:t>
      </w:r>
    </w:p>
    <w:p w14:paraId="398C1F1B" w14:textId="77777777" w:rsidR="001603E2" w:rsidRPr="001603E2" w:rsidRDefault="001603E2" w:rsidP="001603E2">
      <w:pPr>
        <w:jc w:val="both"/>
      </w:pPr>
      <w:r w:rsidRPr="001603E2">
        <w:t>A ANAMT recomenda que todos os trabalhadores verifiquem sua situação vacinal e procurem uma Unidade Básica de Saúde sempre que houver dúvida sobre o esquema recebido. Manter a caderneta atualizada representa uma medida simples, segura e eficaz de proteção individual e coletiva.</w:t>
      </w:r>
    </w:p>
    <w:p w14:paraId="4F921FCE" w14:textId="77777777" w:rsidR="001603E2" w:rsidRPr="001603E2" w:rsidRDefault="001603E2" w:rsidP="00C340C1">
      <w:pPr>
        <w:shd w:val="clear" w:color="auto" w:fill="D9D9D9" w:themeFill="background1" w:themeFillShade="D9"/>
        <w:jc w:val="both"/>
        <w:rPr>
          <w:b/>
          <w:bCs/>
        </w:rPr>
      </w:pPr>
      <w:r w:rsidRPr="001603E2">
        <w:rPr>
          <w:b/>
          <w:bCs/>
        </w:rPr>
        <w:t>Características da vacina, efetividade e contraindicações</w:t>
      </w:r>
    </w:p>
    <w:p w14:paraId="474086A4" w14:textId="0390C7FC" w:rsidR="009E3B36" w:rsidRDefault="0031645E" w:rsidP="001603E2">
      <w:pPr>
        <w:jc w:val="both"/>
      </w:pPr>
      <w:r>
        <w:br/>
      </w:r>
      <w:r w:rsidR="009E3B36" w:rsidRPr="009E3B36">
        <w:t>A vacina tríplice viral é produzida com vírus vivos atenuados. Em pessoas imunocompetentes, estimula a resposta imunológica sem provocar a doença e constitui a principal estratégia para prevenção do sarampo.</w:t>
      </w:r>
    </w:p>
    <w:p w14:paraId="74FE361C" w14:textId="2D999766" w:rsidR="001603E2" w:rsidRPr="001603E2" w:rsidRDefault="0031645E" w:rsidP="001603E2">
      <w:pPr>
        <w:jc w:val="both"/>
      </w:pPr>
      <w:r>
        <w:br/>
      </w:r>
      <w:r w:rsidR="001603E2" w:rsidRPr="001603E2">
        <w:t xml:space="preserve">Como qualquer intervenção em saúde, possui contraindicações que devem ser respeitadas. Não deve ser administrada em gestantes, crianças menores de seis meses, pessoas com imunossupressão grave ou indivíduos com histórico de reação alérgica grave (anafilaxia) a componentes da vacina. Mulheres em idade fértil devem evitar gravidez por pelo menos um mês após a vacinação, e pessoas com doença febril aguda moderada ou grave devem adiar a aplicação até recuperação clínica. </w:t>
      </w:r>
    </w:p>
    <w:p w14:paraId="576EBEEA" w14:textId="77777777" w:rsidR="001603E2" w:rsidRPr="001603E2" w:rsidRDefault="001603E2" w:rsidP="001603E2">
      <w:pPr>
        <w:jc w:val="both"/>
      </w:pPr>
      <w:r w:rsidRPr="001603E2">
        <w:t xml:space="preserve">De modo geral, trata-se de vacina segura e bem tolerada. As reações adversas mais frequentes são leves e transitórias, como dor no local da aplicação, febre baixa, vermelhidão, discreto inchaço e exantema. Eventos graves são extremamente raros. </w:t>
      </w:r>
    </w:p>
    <w:p w14:paraId="4E9F02D4" w14:textId="77777777" w:rsidR="001603E2" w:rsidRPr="001603E2" w:rsidRDefault="001603E2" w:rsidP="001603E2">
      <w:pPr>
        <w:jc w:val="both"/>
        <w:rPr>
          <w:b/>
          <w:bCs/>
        </w:rPr>
      </w:pPr>
      <w:r w:rsidRPr="00C340C1">
        <w:rPr>
          <w:b/>
          <w:bCs/>
          <w:shd w:val="clear" w:color="auto" w:fill="D9D9D9" w:themeFill="background1" w:themeFillShade="D9"/>
        </w:rPr>
        <w:t>O cenário epidemiológico exige vigilância permanente</w:t>
      </w:r>
    </w:p>
    <w:p w14:paraId="453C6777" w14:textId="77777777" w:rsidR="001603E2" w:rsidRPr="001603E2" w:rsidRDefault="001603E2" w:rsidP="001603E2">
      <w:pPr>
        <w:jc w:val="both"/>
      </w:pPr>
      <w:r w:rsidRPr="001603E2">
        <w:t xml:space="preserve">Os dados nacionais mostram o impacto da vacinação no controle do sarampo. Após anos sem circulação sustentada da doença, o Brasil voltou a registrar aumento expressivo de casos a partir de 2018, culminando em mais de 21 mil casos confirmados em 2019. Desde então, houve redução progressiva, com ausência de casos em 2023, cinco casos em 2024, 38 casos em 2025 e dois casos confirmados até a 14ª semana epidemiológica de 2026. </w:t>
      </w:r>
    </w:p>
    <w:p w14:paraId="395A2203" w14:textId="77777777" w:rsidR="001603E2" w:rsidRPr="001603E2" w:rsidRDefault="001603E2" w:rsidP="001603E2">
      <w:pPr>
        <w:jc w:val="both"/>
      </w:pPr>
      <w:r w:rsidRPr="001603E2">
        <w:t xml:space="preserve">A mortalidade acompanhou essa evolução histórica. O Brasil registrava centenas de óbitos anuais no início da década de 1990. Após longos períodos sem mortes, novos óbitos voltaram a ocorrer entre 2018 e 2021, evidenciando que a perda de cobertura vacinal favorece a reintrodução do vírus e suas consequências mais graves. </w:t>
      </w:r>
    </w:p>
    <w:p w14:paraId="51D7A880" w14:textId="77777777" w:rsidR="001603E2" w:rsidRDefault="001603E2" w:rsidP="001603E2">
      <w:pPr>
        <w:jc w:val="both"/>
      </w:pPr>
      <w:r w:rsidRPr="001603E2">
        <w:t xml:space="preserve">Esses números reforçam uma mensagem importante: casos isolados ou importados não significam, por si só, o retorno da circulação endêmica da doença, </w:t>
      </w:r>
      <w:r w:rsidRPr="001603E2">
        <w:lastRenderedPageBreak/>
        <w:t xml:space="preserve">mas demonstram a necessidade de manter elevadas coberturas vacinais para impedir o restabelecimento da transmissão sustentada. </w:t>
      </w:r>
    </w:p>
    <w:p w14:paraId="4842B3B1" w14:textId="46F4AEC0" w:rsidR="00C340C1" w:rsidRDefault="00C340C1" w:rsidP="001603E2">
      <w:pPr>
        <w:jc w:val="both"/>
      </w:pPr>
    </w:p>
    <w:p w14:paraId="544F2071" w14:textId="77777777" w:rsidR="00C340C1" w:rsidRPr="001603E2" w:rsidRDefault="00C340C1" w:rsidP="001603E2">
      <w:pPr>
        <w:jc w:val="both"/>
      </w:pPr>
    </w:p>
    <w:p w14:paraId="5968276A" w14:textId="77777777" w:rsidR="001603E2" w:rsidRPr="001603E2" w:rsidRDefault="001603E2" w:rsidP="00C340C1">
      <w:pPr>
        <w:shd w:val="clear" w:color="auto" w:fill="D9D9D9" w:themeFill="background1" w:themeFillShade="D9"/>
        <w:jc w:val="both"/>
        <w:rPr>
          <w:b/>
          <w:bCs/>
        </w:rPr>
      </w:pPr>
      <w:r w:rsidRPr="001603E2">
        <w:rPr>
          <w:b/>
          <w:bCs/>
        </w:rPr>
        <w:t>Um compromisso de trabalhadores, empresas e profissionais de saúde</w:t>
      </w:r>
    </w:p>
    <w:p w14:paraId="0BBD0373" w14:textId="77777777" w:rsidR="001603E2" w:rsidRPr="001603E2" w:rsidRDefault="001603E2" w:rsidP="001603E2">
      <w:pPr>
        <w:jc w:val="both"/>
      </w:pPr>
      <w:r w:rsidRPr="001603E2">
        <w:t>A vacinação contra o sarampo não é uma medida restrita à infância. Trabalhadores adultos também devem manter seu esquema vacinal atualizado, protegendo a própria saúde e contribuindo para reduzir a circulação do vírus nos ambientes de trabalho, nas famílias e nas comunidades.</w:t>
      </w:r>
    </w:p>
    <w:p w14:paraId="6D3A0281" w14:textId="77777777" w:rsidR="001603E2" w:rsidRPr="001603E2" w:rsidRDefault="001603E2" w:rsidP="001603E2">
      <w:pPr>
        <w:jc w:val="both"/>
      </w:pPr>
      <w:r w:rsidRPr="001603E2">
        <w:t>As empresas podem colaborar de forma decisiva nesse esforço, promovendo campanhas educativas, divulgando informações baseadas em evidências e facilitando o acesso de seus trabalhadores aos serviços de vacinação, respeitando as orientações das autoridades sanitárias.</w:t>
      </w:r>
    </w:p>
    <w:p w14:paraId="657F03C0" w14:textId="77777777" w:rsidR="001603E2" w:rsidRPr="001603E2" w:rsidRDefault="001603E2" w:rsidP="001603E2">
      <w:pPr>
        <w:jc w:val="both"/>
      </w:pPr>
      <w:r w:rsidRPr="001603E2">
        <w:t>Aos médicos do trabalho cabe papel igualmente relevante. Durante consultas ocupacionais, exames admissionais, periódicos, de retorno ao trabalho ou demissionais, esses profissionais podem orientar os trabalhadores sobre a importância da vacinação, esclarecer dúvidas, identificar situações de suscetibilidade e incentivar a atualização da caderneta vacinal, especialmente entre trabalhadores da saúde e outros grupos com maior risco de exposição.</w:t>
      </w:r>
    </w:p>
    <w:p w14:paraId="54BFC460" w14:textId="77777777" w:rsidR="001603E2" w:rsidRPr="001603E2" w:rsidRDefault="001603E2" w:rsidP="00C340C1">
      <w:pPr>
        <w:shd w:val="clear" w:color="auto" w:fill="D9D9D9" w:themeFill="background1" w:themeFillShade="D9"/>
        <w:jc w:val="both"/>
        <w:rPr>
          <w:b/>
          <w:bCs/>
        </w:rPr>
      </w:pPr>
      <w:r w:rsidRPr="001603E2">
        <w:rPr>
          <w:b/>
          <w:bCs/>
        </w:rPr>
        <w:t>Considerações finais</w:t>
      </w:r>
    </w:p>
    <w:p w14:paraId="5BDD78BB" w14:textId="77777777" w:rsidR="001603E2" w:rsidRPr="001603E2" w:rsidRDefault="001603E2" w:rsidP="001603E2">
      <w:pPr>
        <w:jc w:val="both"/>
      </w:pPr>
      <w:r w:rsidRPr="001603E2">
        <w:t>A ANAMT reafirma seu compromisso com a promoção da saúde, a prevenção de doenças e a proteção dos trabalhadores brasileiros. Seus médicos associados permanecem à disposição para orientar trabalhadores, empresas e demais profissionais sobre boas práticas de imunização e prevenção do sarampo.</w:t>
      </w:r>
    </w:p>
    <w:p w14:paraId="7E8F7FB0" w14:textId="08CA8549" w:rsidR="00376DF2" w:rsidRPr="00000095" w:rsidRDefault="00C04363" w:rsidP="0057623E">
      <w:pPr>
        <w:jc w:val="both"/>
      </w:pPr>
      <w:r w:rsidRPr="00C04363">
        <w:t>Para informações atualizadas sobre indicações, esquemas vacinais, contraindicações e situação epidemiológica da doença, a principal referência deve ser o Ministério da Saúde, por meio do Programa Nacional de Imunizações (PNI) e de seus canais oficiais.</w:t>
      </w:r>
    </w:p>
    <w:sectPr w:rsidR="00376DF2" w:rsidRPr="0000009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3F17"/>
    <w:multiLevelType w:val="multilevel"/>
    <w:tmpl w:val="52C0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987C4E"/>
    <w:multiLevelType w:val="multilevel"/>
    <w:tmpl w:val="3FA6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E3AF6"/>
    <w:multiLevelType w:val="multilevel"/>
    <w:tmpl w:val="65DA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35769"/>
    <w:multiLevelType w:val="multilevel"/>
    <w:tmpl w:val="24CA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93489E"/>
    <w:multiLevelType w:val="multilevel"/>
    <w:tmpl w:val="3582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437F07"/>
    <w:multiLevelType w:val="multilevel"/>
    <w:tmpl w:val="EB0C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B65F2"/>
    <w:multiLevelType w:val="multilevel"/>
    <w:tmpl w:val="9D1A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6C5C1D"/>
    <w:multiLevelType w:val="multilevel"/>
    <w:tmpl w:val="29A29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E12626"/>
    <w:multiLevelType w:val="multilevel"/>
    <w:tmpl w:val="9240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537DE7"/>
    <w:multiLevelType w:val="multilevel"/>
    <w:tmpl w:val="AD90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7171810">
    <w:abstractNumId w:val="6"/>
  </w:num>
  <w:num w:numId="2" w16cid:durableId="600650775">
    <w:abstractNumId w:val="9"/>
  </w:num>
  <w:num w:numId="3" w16cid:durableId="571544855">
    <w:abstractNumId w:val="8"/>
  </w:num>
  <w:num w:numId="4" w16cid:durableId="374741618">
    <w:abstractNumId w:val="4"/>
  </w:num>
  <w:num w:numId="5" w16cid:durableId="1757432351">
    <w:abstractNumId w:val="5"/>
  </w:num>
  <w:num w:numId="6" w16cid:durableId="1736970183">
    <w:abstractNumId w:val="0"/>
  </w:num>
  <w:num w:numId="7" w16cid:durableId="804812336">
    <w:abstractNumId w:val="2"/>
  </w:num>
  <w:num w:numId="8" w16cid:durableId="814185160">
    <w:abstractNumId w:val="7"/>
  </w:num>
  <w:num w:numId="9" w16cid:durableId="1434323953">
    <w:abstractNumId w:val="3"/>
  </w:num>
  <w:num w:numId="10" w16cid:durableId="1628470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8E5"/>
    <w:rsid w:val="00000095"/>
    <w:rsid w:val="000503AC"/>
    <w:rsid w:val="000938D7"/>
    <w:rsid w:val="000D3E1B"/>
    <w:rsid w:val="000F2957"/>
    <w:rsid w:val="0012011E"/>
    <w:rsid w:val="001603E2"/>
    <w:rsid w:val="001E253D"/>
    <w:rsid w:val="002F43B8"/>
    <w:rsid w:val="0031645E"/>
    <w:rsid w:val="00371E52"/>
    <w:rsid w:val="00375D26"/>
    <w:rsid w:val="00376DF2"/>
    <w:rsid w:val="003E5E9A"/>
    <w:rsid w:val="004151D6"/>
    <w:rsid w:val="00510525"/>
    <w:rsid w:val="00573229"/>
    <w:rsid w:val="0057623E"/>
    <w:rsid w:val="005A7289"/>
    <w:rsid w:val="006B18E5"/>
    <w:rsid w:val="006B2EFD"/>
    <w:rsid w:val="00700CEF"/>
    <w:rsid w:val="007875C9"/>
    <w:rsid w:val="0085778F"/>
    <w:rsid w:val="009A1710"/>
    <w:rsid w:val="009E3B36"/>
    <w:rsid w:val="00B22B8E"/>
    <w:rsid w:val="00B36A1F"/>
    <w:rsid w:val="00C04363"/>
    <w:rsid w:val="00C15991"/>
    <w:rsid w:val="00C340C1"/>
    <w:rsid w:val="00E02BC3"/>
    <w:rsid w:val="00E728F1"/>
    <w:rsid w:val="00F8307D"/>
    <w:rsid w:val="00FA6ECE"/>
    <w:rsid w:val="00FB11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AB55E"/>
  <w15:chartTrackingRefBased/>
  <w15:docId w15:val="{26436E9B-5318-400B-9F7F-DD2776D2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B1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B1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B18E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B18E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B18E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B18E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B18E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B18E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B18E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18E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B18E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B18E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B18E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B18E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B18E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B18E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B18E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B18E5"/>
    <w:rPr>
      <w:rFonts w:eastAsiaTheme="majorEastAsia" w:cstheme="majorBidi"/>
      <w:color w:val="272727" w:themeColor="text1" w:themeTint="D8"/>
    </w:rPr>
  </w:style>
  <w:style w:type="paragraph" w:styleId="Ttulo">
    <w:name w:val="Title"/>
    <w:basedOn w:val="Normal"/>
    <w:next w:val="Normal"/>
    <w:link w:val="TtuloChar"/>
    <w:uiPriority w:val="10"/>
    <w:qFormat/>
    <w:rsid w:val="006B1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B18E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B18E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B18E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B18E5"/>
    <w:pPr>
      <w:spacing w:before="160"/>
      <w:jc w:val="center"/>
    </w:pPr>
    <w:rPr>
      <w:i/>
      <w:iCs/>
      <w:color w:val="404040" w:themeColor="text1" w:themeTint="BF"/>
    </w:rPr>
  </w:style>
  <w:style w:type="character" w:customStyle="1" w:styleId="CitaoChar">
    <w:name w:val="Citação Char"/>
    <w:basedOn w:val="Fontepargpadro"/>
    <w:link w:val="Citao"/>
    <w:uiPriority w:val="29"/>
    <w:rsid w:val="006B18E5"/>
    <w:rPr>
      <w:i/>
      <w:iCs/>
      <w:color w:val="404040" w:themeColor="text1" w:themeTint="BF"/>
    </w:rPr>
  </w:style>
  <w:style w:type="paragraph" w:styleId="PargrafodaLista">
    <w:name w:val="List Paragraph"/>
    <w:basedOn w:val="Normal"/>
    <w:uiPriority w:val="34"/>
    <w:qFormat/>
    <w:rsid w:val="006B18E5"/>
    <w:pPr>
      <w:ind w:left="720"/>
      <w:contextualSpacing/>
    </w:pPr>
  </w:style>
  <w:style w:type="character" w:styleId="nfaseIntensa">
    <w:name w:val="Intense Emphasis"/>
    <w:basedOn w:val="Fontepargpadro"/>
    <w:uiPriority w:val="21"/>
    <w:qFormat/>
    <w:rsid w:val="006B18E5"/>
    <w:rPr>
      <w:i/>
      <w:iCs/>
      <w:color w:val="0F4761" w:themeColor="accent1" w:themeShade="BF"/>
    </w:rPr>
  </w:style>
  <w:style w:type="paragraph" w:styleId="CitaoIntensa">
    <w:name w:val="Intense Quote"/>
    <w:basedOn w:val="Normal"/>
    <w:next w:val="Normal"/>
    <w:link w:val="CitaoIntensaChar"/>
    <w:uiPriority w:val="30"/>
    <w:qFormat/>
    <w:rsid w:val="006B1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B18E5"/>
    <w:rPr>
      <w:i/>
      <w:iCs/>
      <w:color w:val="0F4761" w:themeColor="accent1" w:themeShade="BF"/>
    </w:rPr>
  </w:style>
  <w:style w:type="character" w:styleId="RefernciaIntensa">
    <w:name w:val="Intense Reference"/>
    <w:basedOn w:val="Fontepargpadro"/>
    <w:uiPriority w:val="32"/>
    <w:qFormat/>
    <w:rsid w:val="006B18E5"/>
    <w:rPr>
      <w:b/>
      <w:bCs/>
      <w:smallCaps/>
      <w:color w:val="0F4761" w:themeColor="accent1" w:themeShade="BF"/>
      <w:spacing w:val="5"/>
    </w:rPr>
  </w:style>
  <w:style w:type="character" w:styleId="Hyperlink">
    <w:name w:val="Hyperlink"/>
    <w:basedOn w:val="Fontepargpadro"/>
    <w:uiPriority w:val="99"/>
    <w:unhideWhenUsed/>
    <w:rsid w:val="005A7289"/>
    <w:rPr>
      <w:color w:val="467886" w:themeColor="hyperlink"/>
      <w:u w:val="single"/>
    </w:rPr>
  </w:style>
  <w:style w:type="character" w:styleId="MenoPendente">
    <w:name w:val="Unresolved Mention"/>
    <w:basedOn w:val="Fontepargpadro"/>
    <w:uiPriority w:val="99"/>
    <w:semiHidden/>
    <w:unhideWhenUsed/>
    <w:rsid w:val="005A7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66CD5-8B84-4818-9D96-4F894A2BE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5147</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Henrique de Souza</dc:creator>
  <cp:keywords/>
  <dc:description/>
  <cp:lastModifiedBy>Vanuza Borges</cp:lastModifiedBy>
  <cp:revision>2</cp:revision>
  <dcterms:created xsi:type="dcterms:W3CDTF">2026-08-03T15:21:00Z</dcterms:created>
  <dcterms:modified xsi:type="dcterms:W3CDTF">2026-08-03T15:21:00Z</dcterms:modified>
</cp:coreProperties>
</file>